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项目名称：石膏板隔断</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当前预估</w:t>
            </w:r>
            <w:bookmarkStart w:id="31" w:name="_GoBack"/>
            <w:bookmarkEnd w:id="31"/>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w:t>
            </w:r>
            <w:r>
              <w:rPr>
                <w:rFonts w:hint="eastAsia" w:eastAsia="仿宋" w:cs="Times New Roman"/>
                <w:b/>
                <w:kern w:val="0"/>
                <w:sz w:val="24"/>
                <w:szCs w:val="24"/>
                <w:lang w:eastAsia="zh-CN"/>
              </w:rPr>
              <w:t>）</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石膏板隔断</w:t>
            </w:r>
          </w:p>
        </w:tc>
        <w:tc>
          <w:tcPr>
            <w:tcW w:w="5373" w:type="dxa"/>
            <w:vAlign w:val="center"/>
          </w:tcPr>
          <w:p>
            <w:pPr>
              <w:widowControl/>
              <w:spacing w:line="360" w:lineRule="auto"/>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材质要求：双面防火石膏板及75型轻钢龙骨；材质要求提供检测合格报告。</w:t>
            </w:r>
          </w:p>
          <w:p>
            <w:pPr>
              <w:widowControl/>
              <w:spacing w:line="360" w:lineRule="auto"/>
              <w:jc w:val="left"/>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将行政楼夹层库房150㎡分割为10个以上小库房，门洞尺寸1*2.1米，门板与隔墙采用相同材料。</w:t>
            </w:r>
          </w:p>
          <w:p>
            <w:pPr>
              <w:widowControl/>
              <w:spacing w:line="360" w:lineRule="auto"/>
              <w:jc w:val="left"/>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合同期限内根据中选价格和实际验收合格量据实结算</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150</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数量说明：签订单价合同期内根据采购人要求和实际验收合格量并据实结算。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3年，采购人发出送货通知后5个工作日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人工费、运输装卸费、税费、保险费、场地清洁费、质保期维护费用、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验收合格后一次性支付</w:t>
            </w:r>
            <w:r>
              <w:rPr>
                <w:rFonts w:hint="eastAsia" w:ascii="方正仿宋_GBK" w:hAnsi="方正仿宋_GBK" w:eastAsia="方正仿宋_GBK" w:cs="方正仿宋_GBK"/>
                <w:sz w:val="24"/>
                <w:szCs w:val="24"/>
              </w:rPr>
              <w:t>。付款时，供应商需提供发票、验收记录，未及时提供的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货物技术资料、</w:t>
            </w:r>
            <w:r>
              <w:rPr>
                <w:rFonts w:hint="eastAsia" w:ascii="方正仿宋_GBK" w:hAnsi="方正仿宋_GBK" w:eastAsia="方正仿宋_GBK" w:cs="方正仿宋_GBK"/>
                <w:sz w:val="24"/>
                <w:szCs w:val="24"/>
                <w:lang w:val="en-US" w:eastAsia="zh-CN"/>
              </w:rPr>
              <w:t>检测报告、</w:t>
            </w:r>
            <w:r>
              <w:rPr>
                <w:rFonts w:hint="eastAsia" w:ascii="方正仿宋_GBK" w:hAnsi="方正仿宋_GBK" w:eastAsia="方正仿宋_GBK" w:cs="方正仿宋_GBK"/>
                <w:sz w:val="24"/>
                <w:szCs w:val="24"/>
              </w:rPr>
              <w:t>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 验收时产生争议或</w:t>
            </w:r>
            <w:r>
              <w:rPr>
                <w:rFonts w:hint="eastAsia" w:ascii="方正仿宋_GBK" w:hAnsi="方正仿宋_GBK" w:eastAsia="方正仿宋_GBK" w:cs="方正仿宋_GBK"/>
                <w:sz w:val="24"/>
                <w:szCs w:val="24"/>
                <w:lang w:val="en-US" w:eastAsia="zh-CN"/>
              </w:rPr>
              <w:t>验收后发现疑似产品质量问题，</w:t>
            </w:r>
            <w:r>
              <w:rPr>
                <w:rFonts w:hint="eastAsia" w:ascii="方正仿宋_GBK" w:hAnsi="方正仿宋_GBK" w:eastAsia="方正仿宋_GBK" w:cs="方正仿宋_GBK"/>
                <w:kern w:val="2"/>
                <w:sz w:val="24"/>
                <w:szCs w:val="24"/>
                <w:lang w:val="en-US" w:eastAsia="zh-CN" w:bidi="ar-SA"/>
              </w:rPr>
              <w:t>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-10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产品单价（元/平方米）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139912"/>
      <w:bookmarkStart w:id="4" w:name="_Toc156815770"/>
      <w:bookmarkStart w:id="5" w:name="_Toc128229745"/>
      <w:bookmarkStart w:id="6" w:name="_Toc175017342"/>
      <w:bookmarkStart w:id="7" w:name="_Toc156196559"/>
      <w:bookmarkStart w:id="8" w:name="_Toc128229916"/>
      <w:bookmarkStart w:id="9" w:name="_Toc156730450"/>
      <w:bookmarkStart w:id="10" w:name="_Toc166549448"/>
      <w:bookmarkStart w:id="11" w:name="_Toc128229302"/>
      <w:bookmarkStart w:id="12" w:name="_Toc173677397"/>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303"/>
      <w:bookmarkStart w:id="14" w:name="_Toc156196560"/>
      <w:bookmarkStart w:id="15" w:name="_Toc175017343"/>
      <w:bookmarkStart w:id="16" w:name="_Toc166549449"/>
      <w:bookmarkStart w:id="17" w:name="_Toc173677398"/>
      <w:bookmarkStart w:id="18" w:name="_Toc166139913"/>
      <w:bookmarkStart w:id="19" w:name="_Toc128229917"/>
      <w:bookmarkStart w:id="20" w:name="_Toc156815771"/>
      <w:bookmarkStart w:id="21" w:name="_Toc156196471"/>
      <w:bookmarkStart w:id="22" w:name="_Toc156730451"/>
      <w:bookmarkStart w:id="23" w:name="_Toc128229746"/>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5017344"/>
      <w:bookmarkStart w:id="25" w:name="_Toc237057793"/>
      <w:bookmarkStart w:id="26" w:name="_Toc128014297"/>
      <w:bookmarkStart w:id="27" w:name="_Toc128229747"/>
      <w:bookmarkStart w:id="28" w:name="_Toc156196472"/>
      <w:bookmarkStart w:id="29" w:name="_Toc128229304"/>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2F03292"/>
    <w:rsid w:val="1922346A"/>
    <w:rsid w:val="1AF86BE0"/>
    <w:rsid w:val="1BDE0896"/>
    <w:rsid w:val="1CF00EFC"/>
    <w:rsid w:val="1E56614C"/>
    <w:rsid w:val="21426D4A"/>
    <w:rsid w:val="236757CC"/>
    <w:rsid w:val="2C3529EE"/>
    <w:rsid w:val="2FC44243"/>
    <w:rsid w:val="33FB61AD"/>
    <w:rsid w:val="342C6BC9"/>
    <w:rsid w:val="376E6279"/>
    <w:rsid w:val="38A14340"/>
    <w:rsid w:val="3A5937EA"/>
    <w:rsid w:val="3D8263F7"/>
    <w:rsid w:val="44C5770F"/>
    <w:rsid w:val="44EF71C4"/>
    <w:rsid w:val="482D6FF9"/>
    <w:rsid w:val="496140CE"/>
    <w:rsid w:val="4AE139DB"/>
    <w:rsid w:val="4BDB0A24"/>
    <w:rsid w:val="4C31315D"/>
    <w:rsid w:val="4F6D75ED"/>
    <w:rsid w:val="53A17F68"/>
    <w:rsid w:val="5E932E93"/>
    <w:rsid w:val="5FA4498B"/>
    <w:rsid w:val="61130716"/>
    <w:rsid w:val="61143219"/>
    <w:rsid w:val="626B6216"/>
    <w:rsid w:val="67CF5844"/>
    <w:rsid w:val="69D01878"/>
    <w:rsid w:val="6A1F4430"/>
    <w:rsid w:val="6DD05A39"/>
    <w:rsid w:val="6EC6360F"/>
    <w:rsid w:val="713118C3"/>
    <w:rsid w:val="71C02C3F"/>
    <w:rsid w:val="72BB5C94"/>
    <w:rsid w:val="732B3BA9"/>
    <w:rsid w:val="78B33C13"/>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2024-06-14T03:46:33Z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